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TÓM TẮT PHƯƠNG ÁN QUẢN LÝ RỪNG BỀN VỮNG GIAI ĐOẠN 2026–2030</w:t>
      </w:r>
    </w:p>
    <w:p>
      <w:pPr>
        <w:jc w:val="center"/>
      </w:pPr>
      <w:r>
        <w:rPr>
          <w:b/>
        </w:rPr>
        <w:t>HUE-FOSDA</w:t>
      </w:r>
    </w:p>
    <w:p>
      <w:r>
        <w:t>Phương án xác định mục tiêu, quy mô, kế hoạch lâm sinh, khai thác, bảo vệ và giám sát rừng của HUE-FOSDA trong giai đoạn 2026–2030. Hội cập nhật thông tin và kế hoạch thực hiện hằng năm theo hiện trạng rừng.</w:t>
      </w:r>
    </w:p>
    <w:p>
      <w:pPr>
        <w:pStyle w:val="Heading1"/>
      </w:pPr>
      <w:r>
        <w:t>Quy mô và mục tiêu</w:t>
      </w:r>
    </w:p>
    <w:tbl>
      <w:tblPr>
        <w:tblStyle w:val="TableGrid"/>
        <w:tblW w:type="auto" w:w="0"/>
        <w:jc w:val="center"/>
        <w:tblLook w:firstColumn="1" w:firstRow="1" w:lastColumn="0" w:lastRow="0" w:noHBand="0" w:noVBand="1" w:val="04A0"/>
      </w:tblPr>
      <w:tblGrid>
        <w:gridCol w:w="3264"/>
        <w:gridCol w:w="3264"/>
        <w:gridCol w:w="3264"/>
      </w:tblGrid>
      <w:tr>
        <w:tc>
          <w:tcPr>
            <w:tcW w:type="dxa" w:w="3264"/>
            <w:shd w:fill="DDE8F2"/>
            <w:vAlign w:val="center"/>
          </w:tcPr>
          <w:p>
            <w:pPr>
              <w:spacing w:after="20"/>
            </w:pPr>
            <w:r>
              <w:rPr>
                <w:rFonts w:ascii="Times New Roman" w:hAnsi="Times New Roman"/>
                <w:b/>
                <w:sz w:val="21"/>
              </w:rPr>
              <w:t>Loại rừng</w:t>
            </w:r>
          </w:p>
        </w:tc>
        <w:tc>
          <w:tcPr>
            <w:tcW w:type="dxa" w:w="3264"/>
            <w:shd w:fill="DDE8F2"/>
            <w:vAlign w:val="center"/>
          </w:tcPr>
          <w:p>
            <w:pPr>
              <w:spacing w:after="20"/>
            </w:pPr>
            <w:r>
              <w:rPr>
                <w:rFonts w:ascii="Times New Roman" w:hAnsi="Times New Roman"/>
                <w:b/>
                <w:sz w:val="21"/>
              </w:rPr>
              <w:t>Diện tích (ha)</w:t>
            </w:r>
          </w:p>
        </w:tc>
        <w:tc>
          <w:tcPr>
            <w:tcW w:type="dxa" w:w="3264"/>
            <w:shd w:fill="DDE8F2"/>
            <w:vAlign w:val="center"/>
          </w:tcPr>
          <w:p>
            <w:pPr>
              <w:spacing w:after="20"/>
            </w:pPr>
            <w:r>
              <w:rPr>
                <w:rFonts w:ascii="Times New Roman" w:hAnsi="Times New Roman"/>
                <w:b/>
                <w:sz w:val="21"/>
              </w:rPr>
              <w:t>Số lô</w:t>
            </w:r>
          </w:p>
        </w:tc>
      </w:tr>
      <w:tr>
        <w:tc>
          <w:tcPr>
            <w:tcW w:type="dxa" w:w="3264"/>
            <w:vAlign w:val="center"/>
          </w:tcPr>
          <w:p>
            <w:pPr>
              <w:spacing w:after="20"/>
            </w:pPr>
            <w:r>
              <w:rPr>
                <w:rFonts w:ascii="Times New Roman" w:hAnsi="Times New Roman"/>
                <w:sz w:val="21"/>
              </w:rPr>
              <w:t>Rừng trồng</w:t>
            </w:r>
          </w:p>
        </w:tc>
        <w:tc>
          <w:tcPr>
            <w:tcW w:type="dxa" w:w="3264"/>
            <w:vAlign w:val="center"/>
          </w:tcPr>
          <w:p>
            <w:pPr>
              <w:spacing w:after="20"/>
            </w:pPr>
            <w:r>
              <w:rPr>
                <w:rFonts w:ascii="Times New Roman" w:hAnsi="Times New Roman"/>
                <w:sz w:val="21"/>
              </w:rPr>
              <w:t>10.197,05</w:t>
            </w:r>
          </w:p>
        </w:tc>
        <w:tc>
          <w:tcPr>
            <w:tcW w:type="dxa" w:w="3264"/>
            <w:vAlign w:val="center"/>
          </w:tcPr>
          <w:p>
            <w:pPr>
              <w:spacing w:after="20"/>
            </w:pPr>
            <w:r>
              <w:rPr>
                <w:rFonts w:ascii="Times New Roman" w:hAnsi="Times New Roman"/>
                <w:sz w:val="21"/>
              </w:rPr>
              <w:t>4.377</w:t>
            </w:r>
          </w:p>
        </w:tc>
      </w:tr>
      <w:tr>
        <w:tc>
          <w:tcPr>
            <w:tcW w:type="dxa" w:w="3264"/>
            <w:vAlign w:val="center"/>
          </w:tcPr>
          <w:p>
            <w:pPr>
              <w:spacing w:after="20"/>
            </w:pPr>
            <w:r>
              <w:rPr>
                <w:rFonts w:ascii="Times New Roman" w:hAnsi="Times New Roman"/>
                <w:sz w:val="21"/>
              </w:rPr>
              <w:t>Rừng tự nhiên</w:t>
            </w:r>
          </w:p>
        </w:tc>
        <w:tc>
          <w:tcPr>
            <w:tcW w:type="dxa" w:w="3264"/>
            <w:vAlign w:val="center"/>
          </w:tcPr>
          <w:p>
            <w:pPr>
              <w:spacing w:after="20"/>
            </w:pPr>
            <w:r>
              <w:rPr>
                <w:rFonts w:ascii="Times New Roman" w:hAnsi="Times New Roman"/>
                <w:sz w:val="21"/>
              </w:rPr>
              <w:t>942,70</w:t>
            </w:r>
          </w:p>
        </w:tc>
        <w:tc>
          <w:tcPr>
            <w:tcW w:type="dxa" w:w="3264"/>
            <w:vAlign w:val="center"/>
          </w:tcPr>
          <w:p>
            <w:pPr>
              <w:spacing w:after="20"/>
            </w:pPr>
            <w:r>
              <w:rPr>
                <w:rFonts w:ascii="Times New Roman" w:hAnsi="Times New Roman"/>
                <w:sz w:val="21"/>
              </w:rPr>
              <w:t>145</w:t>
            </w:r>
          </w:p>
        </w:tc>
      </w:tr>
      <w:tr>
        <w:tc>
          <w:tcPr>
            <w:tcW w:type="dxa" w:w="3264"/>
            <w:vAlign w:val="center"/>
          </w:tcPr>
          <w:p>
            <w:pPr>
              <w:spacing w:after="20"/>
            </w:pPr>
            <w:r>
              <w:rPr>
                <w:rFonts w:ascii="Times New Roman" w:hAnsi="Times New Roman"/>
                <w:sz w:val="21"/>
              </w:rPr>
              <w:t>Tổng cộng</w:t>
            </w:r>
          </w:p>
        </w:tc>
        <w:tc>
          <w:tcPr>
            <w:tcW w:type="dxa" w:w="3264"/>
            <w:vAlign w:val="center"/>
          </w:tcPr>
          <w:p>
            <w:pPr>
              <w:spacing w:after="20"/>
            </w:pPr>
            <w:r>
              <w:rPr>
                <w:rFonts w:ascii="Times New Roman" w:hAnsi="Times New Roman"/>
                <w:sz w:val="21"/>
              </w:rPr>
              <w:t>11.139,75</w:t>
            </w:r>
          </w:p>
        </w:tc>
        <w:tc>
          <w:tcPr>
            <w:tcW w:type="dxa" w:w="3264"/>
            <w:vAlign w:val="center"/>
          </w:tcPr>
          <w:p>
            <w:pPr>
              <w:spacing w:after="20"/>
            </w:pPr>
            <w:r>
              <w:rPr>
                <w:rFonts w:ascii="Times New Roman" w:hAnsi="Times New Roman"/>
                <w:sz w:val="21"/>
              </w:rPr>
              <w:t>4.522</w:t>
            </w:r>
          </w:p>
        </w:tc>
      </w:tr>
    </w:tbl>
    <w:p>
      <w:r>
        <w:t>Phương án ghi 2.115 hội viên rừng trồng và 17 thành viên ban quản lý rừng cộng đồng, tổng 2.132. Hội đặt định hướng phát triển khoảng 15.000 ha rừng trồng keo được cấp chứng chỉ FSC trong nhiệm kỳ 2026–2031.</w:t>
      </w:r>
    </w:p>
    <w:p>
      <w:pPr>
        <w:pStyle w:val="Heading1"/>
      </w:pPr>
      <w:r>
        <w:t>Mục tiêu của phương án</w:t>
      </w:r>
    </w:p>
    <w:p>
      <w:r>
        <w:t>Về kinh tế, Hội quản lý hiệu quả diện tích có quyền sử dụng hợp pháp, mở rộng số hộ và diện tích FSC, vận động kéo dài chu kỳ kinh doanh và xây dựng nguồn cung ổn định cho cả gỗ lớn và gỗ dăm. Phương án nêu mục tiêu nâng chất lượng rừng trồng và mức tăng trưởng 25–30 tấn/ha/năm.</w:t>
      </w:r>
    </w:p>
    <w:p>
      <w:r>
        <w:t>Về xã hội, phương án hướng tới việc làm và thu nhập ổn định, nâng năng lực nghề rừng của hội viên, tôn trọng văn hóa và quyền của cộng đồng. Về môi trường, kế hoạch duy trì độ che phủ, bảo vệ đất và nguồn nước, phát triển đai xanh vùng đệm bằng cây bản địa và giữ các giá trị đa dạng sinh học.</w:t>
      </w:r>
    </w:p>
    <w:p>
      <w:pPr>
        <w:pStyle w:val="Heading1"/>
      </w:pPr>
      <w:r>
        <w:t>Quản lý nhóm và mở rộng chứng chỉ</w:t>
      </w:r>
    </w:p>
    <w:p>
      <w:r>
        <w:t>HUE-FOSDA tổ chức 19 chi hội theo xã/phường và một chi hội Văn phòng. Hội rà soát danh sách hội viên, quyền sử dụng đất, mã lô, diện tích, bản đồ ranh giới và kế hoạch quản lý của từng chủ rừng. Hồ sơ giấy được duy trì, đồng thời từng bước số hóa hồ sơ hội viên để phục vụ quản lý và đánh giá FSC.</w:t>
      </w:r>
    </w:p>
    <w:p>
      <w:r>
        <w:t>Việc mở rộng ưu tiên chủ rừng có diện tích xen kẽ trong vùng FSC để hình thành vùng quản lý tương đối liền khoảnh. Hội phối hợp chính quyền và kiểm lâm vận động chủ rừng tham gia; lựa chọn kinh doanh gỗ lớn theo điều kiện lập địa, khả năng đầu tư, hoặc kinh doanh gỗ nhỏ hiệu quả ở nơi chưa phù hợp.</w:t>
      </w:r>
    </w:p>
    <w:p>
      <w:pPr>
        <w:pStyle w:val="Heading1"/>
      </w:pPr>
      <w:r>
        <w:t>Hoạt động chính giai đoạn 2026–2030</w:t>
      </w:r>
    </w:p>
    <w:p>
      <w:pPr>
        <w:pStyle w:val="ListBullet"/>
      </w:pPr>
      <w:r>
        <w:t>Trồng hoặc trồng lại dự kiến 7.566,58 ha trong 5 năm; các chỉ tiêu năm 2026–2030 lần lượt là 1.447,07; 1.435,98; 1.657,47; 1.643,86 và 1.382,20 ha. Trồng lại sớm sau khai thác để hạn chế đất trống và xói mòn.</w:t>
      </w:r>
    </w:p>
    <w:p>
      <w:pPr>
        <w:pStyle w:val="ListBullet"/>
      </w:pPr>
      <w:r>
        <w:t>Chăm sóc rừng trồng dự kiến 18.291,48 ha-lượt, gồm chăm sóc cây non, phát dây leo, bón phân đúng kỹ thuật, phòng trừ sâu bệnh và bảo vệ rừng. Diện tích chăm sóc tính theo lượt công việc qua các năm, không phải diện tích rừng riêng biệt.</w:t>
      </w:r>
    </w:p>
    <w:p>
      <w:pPr>
        <w:pStyle w:val="ListBullet"/>
      </w:pPr>
      <w:r>
        <w:t>Kế hoạch tỉa thưa rừng keo gỗ lớn trong bảng của phương án là 200 ha mỗi năm, tổng 1.000 ha giai đoạn 2026–2030. Phương án cũng mô tả chương trình chuyển hóa 1.000 ha rừng keo phối hợp cùng IKEA, triển khai từ năm 2022 và dự kiến hoàn thành năm 2026; đây là hai mốc kế hoạch được nêu riêng trong tài liệu.</w:t>
      </w:r>
    </w:p>
    <w:p>
      <w:pPr>
        <w:pStyle w:val="ListBullet"/>
      </w:pPr>
      <w:r>
        <w:t>Cây trồng chủ yếu là keo lai hom hoặc mô, keo tai tượng; cây bản địa được trồng xen hoặc bổ sung ở đai xanh và sinh cảnh cần bảo vệ. Quy trình trồng, chăm sóc, tỉa thưa phải phù hợp lập địa, điều kiện lô và yêu cầu FSC.</w:t>
      </w:r>
    </w:p>
    <w:p>
      <w:pPr>
        <w:pStyle w:val="Heading1"/>
      </w:pPr>
      <w:r>
        <w:t>Bảo vệ môi trường và rủi ro</w:t>
      </w:r>
    </w:p>
    <w:p>
      <w:r>
        <w:t>Vùng đệm ven suối có cây tự nhiên được giữ lại; nơi đã trồng keo hoặc là trảng cỏ, cây bụi được quản lý và bổ sung cây bản địa theo hiện trạng. Hội bảo vệ đất ngập nước, hố bom, rừng tự nhiên còn lại và sinh cảnh dễ bị tổn thương. Chủ rừng cắm mốc, kiểm tra ranh giới, phối hợp xử lý lấn chiếm và ngăn chặt phá trái phép.</w:t>
      </w:r>
    </w:p>
    <w:p>
      <w:r>
        <w:t>Hội tăng cường tuần tra đầu mùa khô, phát đường ranh cản lửa và phối hợp chính quyền, kiểm lâm trong phòng cháy chữa cháy rừng theo lực lượng tại chỗ. Hội viên theo dõi sâu bệnh, ưu tiên chăm sóc và biện pháp sinh học; chỉ dùng hóa chất được phép theo quy định. Phương án nghiêm cấm phá rừng tự nhiên để trồng rừng, đốt thực bì diện rộng, xả rác và nhiên liệu, dùng hóa chất bị cấm, săn bắt hoặc buôn bán động vật hoang dã.</w:t>
      </w:r>
    </w:p>
    <w:p>
      <w:pPr>
        <w:pStyle w:val="Heading1"/>
      </w:pPr>
      <w:r>
        <w:t>Khai thác và thị trường gỗ FSC</w:t>
      </w:r>
    </w:p>
    <w:p>
      <w:r>
        <w:t>Kế hoạch khai thác dựa trên năm trồng, tuổi rừng, chu kỳ kinh doanh và dự kiến của từng hội viên. Hội viên thông báo qua chi hội và HUE-FOSDA trước khi khai thác, tự khai thác hoặc ký hợp đồng bán cây đứng. Bên khai thác phải áp dụng khai thác tác động thấp, tập huấn và trang bị bảo hộ cho công nhân, bảo vệ cây bản địa, đất và nguồn nước.</w:t>
      </w:r>
    </w:p>
    <w:p>
      <w:r>
        <w:t>Sau khai thác, chủ rừng và bên mua vệ sinh hiện trường, phân tán cành ngọn phù hợp, thu gom rác và chất thải, khắc phục xói mòn trên đường vận xuất. Vận chuyển gỗ phải bảo đảm an toàn, tránh thời tiết xấu. Phương án định hướng liên kết các cơ sở chế biến và thu mua gỗ FSC để tạo đầu ra và tăng giá trị sản phẩm cho hội viên.</w:t>
      </w:r>
    </w:p>
    <w:p>
      <w:pPr>
        <w:pStyle w:val="Heading1"/>
      </w:pPr>
      <w:r>
        <w:t>Tổ chức thực hiện và giám sát</w:t>
      </w:r>
    </w:p>
    <w:p>
      <w:r>
        <w:t>Hội viên thực hiện kế hoạch tại lô rừng; chi hội phân công, kiểm tra và báo cáo HUE-FOSDA. Hội phối hợp UBND xã/phường, kiểm lâm, cộng đồng và đơn vị chế biến, thu mua gỗ trong tuyên truyền, hỗ trợ kỹ thuật, bảo vệ rừng và mở rộng FSC. Các chỉ số kinh tế, xã hội, môi trường được tổng hợp, công khai trong các cuộc họp để điều chỉnh kịp thời.</w:t>
      </w:r>
    </w:p>
    <w:p>
      <w:r>
        <w:t>Mỗi năm, HUE-FOSDA lập kế hoạch quản lý, bảo vệ và mở rộng diện tích, cập nhật biến động hội viên và lô rừng, kiểm tra hoạt động khai thác, an toàn lao động và việc khắc phục tồn tại. Phương án là cơ sở chung để các chi hội triển khai và theo dõi tiến độ; kết quả thực tế cần được đối chiếu với kế hoạch năm.</w:t>
      </w:r>
    </w:p>
    <w:p>
      <w:r>
        <w:rPr>
          <w:b/>
        </w:rPr>
        <w:t xml:space="preserve">Nguồn: </w:t>
      </w:r>
      <w:r>
        <w:t>Phương án QLRBV giai đoạn 2026–2030 do người dùng cung cấp, các phần II–IV và các bảng kế hoạch trong tài liệu.</w:t>
      </w:r>
    </w:p>
    <w:sectPr w:rsidR="00FC693F" w:rsidRPr="0006063C" w:rsidSect="00034616">
      <w:pgSz w:w="12240" w:h="15840"/>
      <w:pgMar w:top="1037" w:right="1224" w:bottom="979"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9" w:lineRule="auto"/>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20" w:after="100"/>
      <w:outlineLvl w:val="0"/>
    </w:pPr>
    <w:rPr>
      <w:rFonts w:asciiTheme="majorHAnsi" w:eastAsiaTheme="majorEastAsia" w:hAnsiTheme="majorHAnsi" w:cstheme="majorBidi" w:ascii="Times New Roman" w:hAnsi="Times New Roman"/>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00" w:line="240" w:lineRule="auto" w:before="240"/>
      <w:contextualSpacing/>
    </w:pPr>
    <w:rPr>
      <w:rFonts w:asciiTheme="majorHAnsi" w:eastAsiaTheme="majorEastAsia" w:hAnsiTheme="majorHAnsi" w:cstheme="majorBidi" w:ascii="Times New Roman" w:hAnsi="Times New Roman"/>
      <w:b/>
      <w:color w:val="000000"/>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